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2017D9">
      <w:pPr>
        <w:rPr>
          <w:rFonts w:ascii="仿宋" w:hAnsi="仿宋" w:eastAsia="仿宋" w:cs="仿宋"/>
          <w:color w:val="auto"/>
        </w:rPr>
      </w:pPr>
    </w:p>
    <w:p w14:paraId="0E6C8A02">
      <w:pPr>
        <w:rPr>
          <w:rFonts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附件1</w:t>
      </w:r>
    </w:p>
    <w:p w14:paraId="5BDEB023">
      <w:pPr>
        <w:jc w:val="center"/>
        <w:rPr>
          <w:rFonts w:ascii="仿宋" w:hAnsi="仿宋" w:eastAsia="仿宋" w:cs="仿宋"/>
          <w:color w:val="auto"/>
          <w:sz w:val="44"/>
          <w:szCs w:val="44"/>
          <w:u w:val="single"/>
          <w:lang w:eastAsia="zh-CN"/>
        </w:rPr>
      </w:pPr>
    </w:p>
    <w:p w14:paraId="699EBAC9">
      <w:pPr>
        <w:jc w:val="center"/>
        <w:rPr>
          <w:rFonts w:ascii="仿宋" w:hAnsi="仿宋" w:eastAsia="仿宋" w:cs="仿宋"/>
          <w:color w:val="auto"/>
          <w:sz w:val="44"/>
          <w:szCs w:val="44"/>
          <w:u w:val="single"/>
          <w:lang w:eastAsia="zh-CN"/>
        </w:rPr>
      </w:pPr>
    </w:p>
    <w:p w14:paraId="1F75A0CC">
      <w:pPr>
        <w:jc w:val="center"/>
        <w:rPr>
          <w:rFonts w:ascii="仿宋" w:hAnsi="仿宋" w:eastAsia="仿宋" w:cs="仿宋"/>
          <w:color w:val="auto"/>
          <w:sz w:val="44"/>
          <w:szCs w:val="44"/>
          <w:u w:val="single"/>
          <w:lang w:eastAsia="zh-CN"/>
        </w:rPr>
      </w:pPr>
    </w:p>
    <w:p w14:paraId="39DA78C1">
      <w:pPr>
        <w:jc w:val="center"/>
        <w:rPr>
          <w:rFonts w:ascii="仿宋" w:hAnsi="仿宋" w:eastAsia="仿宋" w:cs="仿宋"/>
          <w:color w:val="auto"/>
          <w:sz w:val="72"/>
          <w:szCs w:val="44"/>
          <w:lang w:eastAsia="zh-CN"/>
        </w:rPr>
      </w:pPr>
      <w:r>
        <w:rPr>
          <w:rFonts w:hint="eastAsia" w:ascii="仿宋" w:hAnsi="仿宋" w:eastAsia="仿宋" w:cs="仿宋"/>
          <w:color w:val="auto"/>
          <w:sz w:val="56"/>
          <w:szCs w:val="40"/>
          <w:lang w:eastAsia="zh-CN"/>
        </w:rPr>
        <w:t>广东省韶关生态环境监测中心站</w:t>
      </w:r>
      <w:r>
        <w:rPr>
          <w:rFonts w:hint="eastAsia" w:ascii="仿宋" w:hAnsi="仿宋" w:eastAsia="仿宋" w:cs="仿宋"/>
          <w:color w:val="auto"/>
          <w:sz w:val="72"/>
          <w:szCs w:val="44"/>
          <w:lang w:eastAsia="zh-CN"/>
        </w:rPr>
        <w:t>采购需求及实施计划</w:t>
      </w:r>
    </w:p>
    <w:p w14:paraId="3E686882">
      <w:pPr>
        <w:jc w:val="center"/>
        <w:rPr>
          <w:rFonts w:ascii="仿宋" w:hAnsi="仿宋" w:eastAsia="仿宋" w:cs="仿宋"/>
          <w:color w:val="auto"/>
          <w:sz w:val="72"/>
          <w:szCs w:val="44"/>
          <w:lang w:eastAsia="zh-CN"/>
        </w:rPr>
      </w:pPr>
      <w:r>
        <w:rPr>
          <w:rFonts w:hint="eastAsia" w:ascii="仿宋" w:hAnsi="仿宋" w:eastAsia="仿宋" w:cs="仿宋"/>
          <w:color w:val="auto"/>
          <w:sz w:val="72"/>
          <w:szCs w:val="44"/>
          <w:lang w:eastAsia="zh-CN"/>
        </w:rPr>
        <w:t>（自行采购）</w:t>
      </w:r>
    </w:p>
    <w:p w14:paraId="4204419A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05DA3EA0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5D41A25E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32C8EFC9">
      <w:pPr>
        <w:jc w:val="center"/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7858B564">
      <w:pPr>
        <w:spacing w:line="360" w:lineRule="auto"/>
        <w:ind w:firstLine="1920" w:firstLineChars="600"/>
        <w:rPr>
          <w:rFonts w:ascii="仿宋" w:hAnsi="仿宋" w:eastAsia="仿宋" w:cs="仿宋"/>
          <w:color w:val="auto"/>
          <w:sz w:val="32"/>
          <w:szCs w:val="32"/>
          <w:u w:val="single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项目名称：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>年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val="en-US" w:eastAsia="zh-CN"/>
        </w:rPr>
        <w:t>财务咨询服务采购</w:t>
      </w:r>
      <w:r>
        <w:rPr>
          <w:rFonts w:hint="eastAsia" w:ascii="仿宋" w:hAnsi="仿宋" w:eastAsia="仿宋" w:cs="仿宋"/>
          <w:color w:val="auto"/>
          <w:sz w:val="32"/>
          <w:szCs w:val="32"/>
          <w:u w:val="single"/>
          <w:lang w:eastAsia="zh-CN"/>
        </w:rPr>
        <w:t xml:space="preserve"> </w:t>
      </w:r>
    </w:p>
    <w:p w14:paraId="55875218">
      <w:pPr>
        <w:rPr>
          <w:rFonts w:ascii="仿宋" w:hAnsi="仿宋" w:eastAsia="仿宋" w:cs="仿宋"/>
          <w:color w:val="auto"/>
          <w:sz w:val="44"/>
          <w:szCs w:val="44"/>
          <w:lang w:eastAsia="zh-CN"/>
        </w:rPr>
      </w:pPr>
    </w:p>
    <w:p w14:paraId="0700BBB3">
      <w:pPr>
        <w:rPr>
          <w:rFonts w:ascii="仿宋" w:hAnsi="仿宋" w:eastAsia="仿宋" w:cs="仿宋"/>
          <w:color w:val="auto"/>
          <w:sz w:val="44"/>
          <w:szCs w:val="44"/>
          <w:lang w:eastAsia="zh-CN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1440" w:right="1800" w:bottom="1440" w:left="1800" w:header="851" w:footer="992" w:gutter="0"/>
          <w:pgNumType w:fmt="numberInDash" w:start="1"/>
          <w:cols w:space="720" w:num="1"/>
          <w:docGrid w:type="lines" w:linePitch="312" w:charSpace="0"/>
        </w:sectPr>
      </w:pPr>
    </w:p>
    <w:p w14:paraId="1B88C4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/>
          <w:lang w:val="en-US"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  <w:t>一、项目概况</w:t>
      </w:r>
    </w:p>
    <w:p w14:paraId="6861D00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自垂改上收以来，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广东省财政厅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eastAsia="zh-CN"/>
        </w:rPr>
        <w:t>、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广东省生态环境厅及广东省生态环境监测中心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对财务管理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eastAsia="zh-CN"/>
        </w:rPr>
        <w:t>的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要求持续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提高，财务工作需更加细致、严格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，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我站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需全面提升财务工作的规范性、准确性和时效性。为确保日常账务处理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eastAsia="zh-CN"/>
        </w:rPr>
        <w:t>、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政府财务报告编制、部门决算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编制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及国有资产系统管理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等工作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符合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财政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政策要求，现拟采购专业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eastAsia="zh-CN"/>
        </w:rPr>
        <w:t>的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财务咨询服务。</w:t>
      </w:r>
    </w:p>
    <w:p w14:paraId="190455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eastAsia="zh-CN"/>
        </w:rPr>
        <w:t>需求清单</w:t>
      </w:r>
    </w:p>
    <w:p w14:paraId="69D4A81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/>
          <w:lang w:eastAsia="zh-CN"/>
        </w:rPr>
      </w:pPr>
      <w:r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  <w:t>（一）服务内容及要求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59"/>
        <w:gridCol w:w="5063"/>
      </w:tblGrid>
      <w:tr w14:paraId="32738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9" w:type="dxa"/>
          </w:tcPr>
          <w:p w14:paraId="523EC83B">
            <w:pPr>
              <w:widowControl w:val="0"/>
              <w:jc w:val="center"/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</w:rPr>
              <w:t>服务</w:t>
            </w:r>
            <w:r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  <w:lang w:val="en-US" w:eastAsia="zh-CN"/>
              </w:rPr>
              <w:t>内容</w:t>
            </w:r>
          </w:p>
        </w:tc>
        <w:tc>
          <w:tcPr>
            <w:tcW w:w="5063" w:type="dxa"/>
          </w:tcPr>
          <w:p w14:paraId="3177AF3A">
            <w:pPr>
              <w:widowControl w:val="0"/>
              <w:jc w:val="center"/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</w:rPr>
              <w:t>具体要求</w:t>
            </w:r>
          </w:p>
        </w:tc>
      </w:tr>
      <w:tr w14:paraId="7879AA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9" w:type="dxa"/>
            <w:vAlign w:val="center"/>
          </w:tcPr>
          <w:p w14:paraId="4C5BCA65">
            <w:pPr>
              <w:widowControl w:val="0"/>
              <w:jc w:val="left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政府财务报告编制咨询</w:t>
            </w:r>
          </w:p>
        </w:tc>
        <w:tc>
          <w:tcPr>
            <w:tcW w:w="5063" w:type="dxa"/>
          </w:tcPr>
          <w:p w14:paraId="61A84434">
            <w:pPr>
              <w:widowControl w:val="0"/>
              <w:jc w:val="both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1.指导报告编制流程，审核数据准确性；2.协助完成报告撰写，确保符合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财政部门和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《政府会计准则》要求。</w:t>
            </w:r>
          </w:p>
        </w:tc>
      </w:tr>
      <w:tr w14:paraId="63E16B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9" w:type="dxa"/>
            <w:vAlign w:val="center"/>
          </w:tcPr>
          <w:p w14:paraId="53C776CA">
            <w:pPr>
              <w:widowControl w:val="0"/>
              <w:jc w:val="left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年度部门决算编制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咨询</w:t>
            </w:r>
          </w:p>
        </w:tc>
        <w:tc>
          <w:tcPr>
            <w:tcW w:w="5063" w:type="dxa"/>
          </w:tcPr>
          <w:p w14:paraId="29215B46">
            <w:pPr>
              <w:widowControl w:val="0"/>
              <w:jc w:val="both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1.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协助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整理决算数据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eastAsia="zh-CN"/>
              </w:rPr>
              <w:t>、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编制决算报表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说明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及分析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报告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eastAsia="zh-CN"/>
              </w:rPr>
              <w:t>；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2.配合完成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上级单位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的审核与调整。</w:t>
            </w:r>
          </w:p>
        </w:tc>
      </w:tr>
      <w:tr w14:paraId="6AB2B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3459" w:type="dxa"/>
            <w:vAlign w:val="center"/>
          </w:tcPr>
          <w:p w14:paraId="3A23B83B">
            <w:pPr>
              <w:widowControl w:val="0"/>
              <w:jc w:val="left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日常账务处理咨询</w:t>
            </w:r>
          </w:p>
        </w:tc>
        <w:tc>
          <w:tcPr>
            <w:tcW w:w="5063" w:type="dxa"/>
          </w:tcPr>
          <w:p w14:paraId="2DAD4924">
            <w:pPr>
              <w:widowControl w:val="0"/>
              <w:jc w:val="both"/>
              <w:rPr>
                <w:rFonts w:hint="default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  <w:lang w:val="en-US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1.及时答复账务处理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疑难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问题，提供具体操作指导；2.每月和年末协助处理好日常账务。</w:t>
            </w:r>
          </w:p>
        </w:tc>
      </w:tr>
      <w:tr w14:paraId="7BFF0F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59" w:type="dxa"/>
            <w:vAlign w:val="center"/>
          </w:tcPr>
          <w:p w14:paraId="633F5C5B">
            <w:pPr>
              <w:widowControl w:val="0"/>
              <w:jc w:val="left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国有资产系统管理咨询</w:t>
            </w:r>
          </w:p>
        </w:tc>
        <w:tc>
          <w:tcPr>
            <w:tcW w:w="5063" w:type="dxa"/>
          </w:tcPr>
          <w:p w14:paraId="645FEF7C">
            <w:pPr>
              <w:widowControl w:val="0"/>
              <w:jc w:val="both"/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vertAlign w:val="baseline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1.指导资产系统操作（如资产登记、折旧计提等）；2.协助完成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资产年度</w:t>
            </w: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</w:rPr>
              <w:t>报告编制。</w:t>
            </w:r>
          </w:p>
        </w:tc>
      </w:tr>
    </w:tbl>
    <w:p w14:paraId="4D5E777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  <w:t>（二）其他需求</w:t>
      </w:r>
    </w:p>
    <w:p w14:paraId="1CE6A14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1.保密要求：供应商需签订保密协议，确保数据安全。</w:t>
      </w:r>
    </w:p>
    <w:p w14:paraId="077562E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2.人员资质：服务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团队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需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持有中级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会计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职称或以上资质</w:t>
      </w:r>
      <w:r>
        <w:rPr>
          <w:rFonts w:hint="eastAsia" w:ascii="仿宋" w:hAnsi="仿宋" w:eastAsia="仿宋"/>
          <w:iCs/>
          <w:color w:val="auto"/>
          <w:sz w:val="30"/>
          <w:szCs w:val="30"/>
          <w:u w:val="none"/>
        </w:rPr>
        <w:t>，并提供相关资质证明。</w:t>
      </w:r>
    </w:p>
    <w:p w14:paraId="1A0A055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jc w:val="both"/>
        <w:textAlignment w:val="baseline"/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三、采购方式</w:t>
      </w:r>
    </w:p>
    <w:p w14:paraId="5A51900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firstLine="600" w:firstLineChars="200"/>
        <w:rPr>
          <w:rFonts w:hint="eastAsia" w:ascii="仿宋" w:hAnsi="仿宋" w:eastAsia="仿宋"/>
          <w:iCs/>
          <w:color w:val="0000FF"/>
          <w:sz w:val="30"/>
          <w:szCs w:val="30"/>
          <w:u w:val="none"/>
          <w:lang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</w:rPr>
        <w:t>自行采购</w:t>
      </w:r>
      <w:r>
        <w:rPr>
          <w:rFonts w:hint="eastAsia" w:ascii="仿宋" w:hAnsi="仿宋" w:eastAsia="仿宋"/>
          <w:iCs/>
          <w:color w:val="auto"/>
          <w:sz w:val="30"/>
          <w:szCs w:val="30"/>
          <w:lang w:eastAsia="zh-CN"/>
        </w:rPr>
        <w:t>，</w:t>
      </w:r>
      <w:r>
        <w:rPr>
          <w:rFonts w:hint="eastAsia" w:ascii="仿宋" w:hAnsi="仿宋" w:eastAsia="仿宋"/>
          <w:iCs/>
          <w:color w:val="auto"/>
          <w:sz w:val="30"/>
          <w:szCs w:val="30"/>
          <w:lang w:val="en-US" w:eastAsia="zh-CN"/>
        </w:rPr>
        <w:t>采用</w:t>
      </w:r>
      <w:r>
        <w:rPr>
          <w:rFonts w:hint="eastAsia" w:ascii="仿宋" w:hAnsi="仿宋" w:eastAsia="仿宋"/>
          <w:iCs/>
          <w:color w:val="auto"/>
          <w:sz w:val="30"/>
          <w:szCs w:val="30"/>
        </w:rPr>
        <w:t>最低价中标</w:t>
      </w:r>
      <w:r>
        <w:rPr>
          <w:rFonts w:hint="eastAsia" w:ascii="仿宋" w:hAnsi="仿宋" w:eastAsia="仿宋"/>
          <w:iCs/>
          <w:color w:val="auto"/>
          <w:sz w:val="30"/>
          <w:szCs w:val="30"/>
          <w:lang w:eastAsia="zh-CN"/>
        </w:rPr>
        <w:t>。</w:t>
      </w:r>
    </w:p>
    <w:p w14:paraId="3F427D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四、风险管控措施</w:t>
      </w:r>
      <w:bookmarkStart w:id="0" w:name="_GoBack"/>
      <w:bookmarkEnd w:id="0"/>
    </w:p>
    <w:p w14:paraId="2BF2B91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/>
          <w:vertAlign w:val="baseli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  <w:t>（一）风险识别与应对</w:t>
      </w:r>
    </w:p>
    <w:tbl>
      <w:tblPr>
        <w:tblStyle w:val="7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6113"/>
      </w:tblGrid>
      <w:tr w14:paraId="3D060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413" w:type="pct"/>
            <w:vAlign w:val="center"/>
          </w:tcPr>
          <w:p w14:paraId="1ABE9FB3">
            <w:pPr>
              <w:widowControl w:val="0"/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  <w:lang w:val="en-US" w:eastAsia="zh-CN"/>
              </w:rPr>
              <w:t>风险类型</w:t>
            </w:r>
          </w:p>
        </w:tc>
        <w:tc>
          <w:tcPr>
            <w:tcW w:w="3586" w:type="pct"/>
            <w:vAlign w:val="center"/>
          </w:tcPr>
          <w:p w14:paraId="421F0D34">
            <w:pPr>
              <w:widowControl w:val="0"/>
              <w:jc w:val="center"/>
              <w:rPr>
                <w:rFonts w:hint="eastAsia"/>
                <w:b/>
                <w:bCs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iCs/>
                <w:color w:val="auto"/>
                <w:sz w:val="28"/>
                <w:szCs w:val="28"/>
                <w:u w:val="none"/>
                <w:lang w:val="en-US" w:eastAsia="zh-CN"/>
              </w:rPr>
              <w:t>应对措施</w:t>
            </w:r>
          </w:p>
        </w:tc>
      </w:tr>
      <w:tr w14:paraId="2DE54E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</w:trPr>
        <w:tc>
          <w:tcPr>
            <w:tcW w:w="1413" w:type="pct"/>
            <w:vAlign w:val="center"/>
          </w:tcPr>
          <w:p w14:paraId="0EF54F92">
            <w:pPr>
              <w:widowControl w:val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数据安全风险</w:t>
            </w:r>
          </w:p>
        </w:tc>
        <w:tc>
          <w:tcPr>
            <w:tcW w:w="3586" w:type="pct"/>
            <w:vAlign w:val="center"/>
          </w:tcPr>
          <w:p w14:paraId="1C19F2E1">
            <w:pPr>
              <w:widowControl w:val="0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1.签订保密协议；2.限制供应商接触核心数据的权限。</w:t>
            </w:r>
          </w:p>
        </w:tc>
      </w:tr>
      <w:tr w14:paraId="5EB27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pct"/>
            <w:vAlign w:val="center"/>
          </w:tcPr>
          <w:p w14:paraId="488559BA">
            <w:pPr>
              <w:widowControl w:val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服务质量风险</w:t>
            </w:r>
          </w:p>
        </w:tc>
        <w:tc>
          <w:tcPr>
            <w:tcW w:w="3586" w:type="pct"/>
            <w:vAlign w:val="center"/>
          </w:tcPr>
          <w:p w14:paraId="0FE263C2">
            <w:pPr>
              <w:widowControl w:val="0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1.分阶段验收成果，未达标则限期整改；2.要求供应商提供过往同类项目案例。</w:t>
            </w:r>
          </w:p>
        </w:tc>
      </w:tr>
      <w:tr w14:paraId="635137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13" w:type="pct"/>
            <w:vAlign w:val="center"/>
          </w:tcPr>
          <w:p w14:paraId="58A01F39">
            <w:pPr>
              <w:widowControl w:val="0"/>
              <w:jc w:val="center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人员变动风险</w:t>
            </w:r>
          </w:p>
        </w:tc>
        <w:tc>
          <w:tcPr>
            <w:tcW w:w="3586" w:type="pct"/>
            <w:vAlign w:val="center"/>
          </w:tcPr>
          <w:p w14:paraId="42A1507D">
            <w:pPr>
              <w:widowControl w:val="0"/>
              <w:jc w:val="left"/>
              <w:rPr>
                <w:rFonts w:hint="eastAsia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/>
                <w:iCs/>
                <w:color w:val="auto"/>
                <w:sz w:val="28"/>
                <w:szCs w:val="28"/>
                <w:u w:val="none"/>
                <w:lang w:val="en-US" w:eastAsia="zh-CN"/>
              </w:rPr>
              <w:t>合同中约定核心人员不得更换，否则需提前30天报备并经采购方同意。</w:t>
            </w:r>
          </w:p>
        </w:tc>
      </w:tr>
    </w:tbl>
    <w:p w14:paraId="315FDD8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楷体" w:hAnsi="楷体" w:eastAsia="楷体" w:cs="楷体"/>
          <w:b w:val="0"/>
          <w:bCs w:val="0"/>
          <w:iCs/>
          <w:color w:val="auto"/>
          <w:sz w:val="30"/>
          <w:szCs w:val="30"/>
          <w:u w:val="none"/>
          <w:lang w:val="en-US" w:eastAsia="zh-CN"/>
        </w:rPr>
        <w:t>（二）争议解决机制</w:t>
      </w:r>
    </w:p>
    <w:p w14:paraId="6046F2B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若服务过程中产生争议，双方优先协商解决；协商未果时，提交采购方所在地仲裁委员会仲裁。</w:t>
      </w:r>
    </w:p>
    <w:p w14:paraId="4B52FC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Times New Roman"/>
          <w:snapToGrid/>
          <w:color w:val="auto"/>
          <w:kern w:val="2"/>
          <w:sz w:val="32"/>
          <w:szCs w:val="32"/>
          <w:lang w:val="en-US" w:eastAsia="zh-CN"/>
        </w:rPr>
        <w:t>五、供应商资格要求</w:t>
      </w:r>
    </w:p>
    <w:p w14:paraId="512E524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（一）具备独立法人资格，经营范围包含财务咨询服务；</w:t>
      </w:r>
    </w:p>
    <w:p w14:paraId="4941AB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（二）近三年内承接过至少2个同类政府事业单位项目；</w:t>
      </w:r>
    </w:p>
    <w:p w14:paraId="08FE414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0" w:firstLineChars="200"/>
        <w:jc w:val="both"/>
        <w:textAlignment w:val="baseline"/>
        <w:rPr>
          <w:rFonts w:hint="eastAsia" w:ascii="仿宋" w:hAnsi="仿宋" w:eastAsia="仿宋" w:cs="Times New Roman"/>
          <w:iCs/>
          <w:caps w:val="0"/>
          <w:snapToGrid/>
          <w:color w:val="auto"/>
          <w:kern w:val="2"/>
          <w:sz w:val="30"/>
          <w:szCs w:val="30"/>
          <w:lang w:val="en-US" w:eastAsia="zh-CN" w:bidi="ar-SA"/>
        </w:rPr>
      </w:pPr>
      <w:r>
        <w:rPr>
          <w:rFonts w:hint="eastAsia" w:ascii="仿宋" w:hAnsi="仿宋" w:eastAsia="仿宋"/>
          <w:iCs/>
          <w:color w:val="auto"/>
          <w:sz w:val="30"/>
          <w:szCs w:val="30"/>
          <w:u w:val="none"/>
          <w:lang w:val="en-US" w:eastAsia="zh-CN"/>
        </w:rPr>
        <w:t>（三）未被列入政府采购失信名单。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_x000B__x000C_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7760ED">
    <w:pPr>
      <w:pStyle w:val="4"/>
      <w:jc w:val="right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51B860">
    <w:pPr>
      <w:pStyle w:val="4"/>
      <w:rPr>
        <w:rFonts w:ascii="宋体" w:hAnsi="宋体"/>
        <w:sz w:val="28"/>
        <w:szCs w:val="28"/>
      </w:rPr>
    </w:pPr>
    <w:r>
      <w:rPr>
        <w:rFonts w:hint="eastAsia" w:ascii="宋体" w:hAnsi="宋体"/>
        <w:sz w:val="28"/>
        <w:szCs w:val="28"/>
      </w:rPr>
      <w:t xml:space="preserve">— 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 PAGE   \* MERGEFORMAT 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2</w:t>
    </w:r>
    <w:r>
      <w:rPr>
        <w:rFonts w:ascii="宋体" w:hAnsi="宋体"/>
        <w:sz w:val="28"/>
        <w:szCs w:val="28"/>
      </w:rPr>
      <w:fldChar w:fldCharType="end"/>
    </w:r>
    <w:r>
      <w:rPr>
        <w:rFonts w:hint="eastAsia" w:ascii="宋体" w:hAnsi="宋体"/>
        <w:sz w:val="28"/>
        <w:szCs w:val="28"/>
      </w:rPr>
      <w:t xml:space="preserve"> —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FC47F94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689FAE">
    <w:pPr>
      <w:pStyle w:val="5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632806"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C9394">
    <w:pPr>
      <w:pStyle w:val="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Y2Y2YxMzJiZTBlOTk5YjUyNjg4NTFlMGM1YjAwZGQifQ=="/>
  </w:docVars>
  <w:rsids>
    <w:rsidRoot w:val="00F22C48"/>
    <w:rsid w:val="002C13B3"/>
    <w:rsid w:val="002F7C5D"/>
    <w:rsid w:val="00773916"/>
    <w:rsid w:val="008819F6"/>
    <w:rsid w:val="00F22C48"/>
    <w:rsid w:val="0212752C"/>
    <w:rsid w:val="022F1DB9"/>
    <w:rsid w:val="02315D47"/>
    <w:rsid w:val="0236721E"/>
    <w:rsid w:val="02727F11"/>
    <w:rsid w:val="02765FDF"/>
    <w:rsid w:val="02A971E8"/>
    <w:rsid w:val="02E22AC7"/>
    <w:rsid w:val="04006986"/>
    <w:rsid w:val="047302DC"/>
    <w:rsid w:val="04782540"/>
    <w:rsid w:val="04900276"/>
    <w:rsid w:val="06A40336"/>
    <w:rsid w:val="08D5501E"/>
    <w:rsid w:val="092E3CA8"/>
    <w:rsid w:val="0932487A"/>
    <w:rsid w:val="09342FF5"/>
    <w:rsid w:val="0B335B7D"/>
    <w:rsid w:val="0B9828BE"/>
    <w:rsid w:val="0BEE510E"/>
    <w:rsid w:val="0DFB33E4"/>
    <w:rsid w:val="0EA31596"/>
    <w:rsid w:val="0FFF4368"/>
    <w:rsid w:val="10601F7B"/>
    <w:rsid w:val="10C81EB5"/>
    <w:rsid w:val="11AC5664"/>
    <w:rsid w:val="124743B4"/>
    <w:rsid w:val="12584ADA"/>
    <w:rsid w:val="1296779C"/>
    <w:rsid w:val="15F0378C"/>
    <w:rsid w:val="16901EA2"/>
    <w:rsid w:val="173F355A"/>
    <w:rsid w:val="17A41E33"/>
    <w:rsid w:val="19BC28A3"/>
    <w:rsid w:val="19D46A86"/>
    <w:rsid w:val="19E86E5A"/>
    <w:rsid w:val="1A76530F"/>
    <w:rsid w:val="1B25736A"/>
    <w:rsid w:val="1B836942"/>
    <w:rsid w:val="1BFC0F69"/>
    <w:rsid w:val="1DEE6ADF"/>
    <w:rsid w:val="1F38650F"/>
    <w:rsid w:val="1FBD3667"/>
    <w:rsid w:val="20FD05AB"/>
    <w:rsid w:val="21636B5A"/>
    <w:rsid w:val="22A437DD"/>
    <w:rsid w:val="22B74156"/>
    <w:rsid w:val="22BA4E19"/>
    <w:rsid w:val="23D24AA0"/>
    <w:rsid w:val="252312F2"/>
    <w:rsid w:val="259207B1"/>
    <w:rsid w:val="259255D7"/>
    <w:rsid w:val="282F3137"/>
    <w:rsid w:val="28755DA6"/>
    <w:rsid w:val="291B477E"/>
    <w:rsid w:val="29400F3F"/>
    <w:rsid w:val="295F1957"/>
    <w:rsid w:val="2A086679"/>
    <w:rsid w:val="2B0725D6"/>
    <w:rsid w:val="2CB93A5C"/>
    <w:rsid w:val="2E0F4D21"/>
    <w:rsid w:val="2E9342DF"/>
    <w:rsid w:val="31902C9F"/>
    <w:rsid w:val="322F0CEE"/>
    <w:rsid w:val="335522A9"/>
    <w:rsid w:val="3459091D"/>
    <w:rsid w:val="34AE2DE1"/>
    <w:rsid w:val="393578EF"/>
    <w:rsid w:val="393737A1"/>
    <w:rsid w:val="3B0A255D"/>
    <w:rsid w:val="3C023068"/>
    <w:rsid w:val="3C10125A"/>
    <w:rsid w:val="3DFE6453"/>
    <w:rsid w:val="3E1C66C7"/>
    <w:rsid w:val="3E5E28E2"/>
    <w:rsid w:val="3E6769B9"/>
    <w:rsid w:val="3F7942AE"/>
    <w:rsid w:val="3FC44DA3"/>
    <w:rsid w:val="3FD27D3A"/>
    <w:rsid w:val="4025387A"/>
    <w:rsid w:val="40B41773"/>
    <w:rsid w:val="41836F14"/>
    <w:rsid w:val="425A6618"/>
    <w:rsid w:val="429168A9"/>
    <w:rsid w:val="42C97360"/>
    <w:rsid w:val="43882D11"/>
    <w:rsid w:val="43F70C0F"/>
    <w:rsid w:val="460D5750"/>
    <w:rsid w:val="468C0D6B"/>
    <w:rsid w:val="49047F72"/>
    <w:rsid w:val="4A2D016F"/>
    <w:rsid w:val="4D084D22"/>
    <w:rsid w:val="4D72139F"/>
    <w:rsid w:val="501B74FB"/>
    <w:rsid w:val="51292B59"/>
    <w:rsid w:val="51392678"/>
    <w:rsid w:val="52076EBC"/>
    <w:rsid w:val="53C224CE"/>
    <w:rsid w:val="53E21FCA"/>
    <w:rsid w:val="540A1188"/>
    <w:rsid w:val="55361AEB"/>
    <w:rsid w:val="573F3A68"/>
    <w:rsid w:val="58774D5E"/>
    <w:rsid w:val="59277BCF"/>
    <w:rsid w:val="59CE3875"/>
    <w:rsid w:val="5A162CBE"/>
    <w:rsid w:val="5A4B3A12"/>
    <w:rsid w:val="5C270EC2"/>
    <w:rsid w:val="5D2D0CC1"/>
    <w:rsid w:val="5D5D1495"/>
    <w:rsid w:val="5D8D6E33"/>
    <w:rsid w:val="5D9619A0"/>
    <w:rsid w:val="5E48511F"/>
    <w:rsid w:val="62CA6F20"/>
    <w:rsid w:val="66461E1B"/>
    <w:rsid w:val="66A03019"/>
    <w:rsid w:val="670F2122"/>
    <w:rsid w:val="67645E94"/>
    <w:rsid w:val="67984BCC"/>
    <w:rsid w:val="68BB27DE"/>
    <w:rsid w:val="68C53F3C"/>
    <w:rsid w:val="69AA3A3E"/>
    <w:rsid w:val="6A1B4C63"/>
    <w:rsid w:val="6A753469"/>
    <w:rsid w:val="6B8A6F5F"/>
    <w:rsid w:val="6BC7504E"/>
    <w:rsid w:val="6C024845"/>
    <w:rsid w:val="6C6E0447"/>
    <w:rsid w:val="6D932E1E"/>
    <w:rsid w:val="6E9908DF"/>
    <w:rsid w:val="6EF714FA"/>
    <w:rsid w:val="70BF3967"/>
    <w:rsid w:val="70FF46DC"/>
    <w:rsid w:val="72717A8A"/>
    <w:rsid w:val="7390524E"/>
    <w:rsid w:val="74E36143"/>
    <w:rsid w:val="75934072"/>
    <w:rsid w:val="75C3539F"/>
    <w:rsid w:val="770C4E48"/>
    <w:rsid w:val="777029AA"/>
    <w:rsid w:val="78743A47"/>
    <w:rsid w:val="78FC507F"/>
    <w:rsid w:val="79712057"/>
    <w:rsid w:val="7A0E1E71"/>
    <w:rsid w:val="7A69595E"/>
    <w:rsid w:val="7AFD6FAE"/>
    <w:rsid w:val="7E5348AD"/>
    <w:rsid w:val="7EAF7631"/>
    <w:rsid w:val="7F111831"/>
    <w:rsid w:val="7F3216A0"/>
    <w:rsid w:val="7F546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9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unhideWhenUsed/>
    <w:qFormat/>
    <w:uiPriority w:val="99"/>
    <w:pPr>
      <w:ind w:firstLine="600" w:firstLineChars="200"/>
    </w:pPr>
    <w:rPr>
      <w:rFonts w:ascii="仿宋" w:hAnsi="仿宋" w:eastAsia="仿宋"/>
      <w:caps/>
      <w:sz w:val="30"/>
      <w:szCs w:val="30"/>
    </w:rPr>
  </w:style>
  <w:style w:type="paragraph" w:styleId="3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Revision"/>
    <w:hidden/>
    <w:unhideWhenUsed/>
    <w:qFormat/>
    <w:uiPriority w:val="99"/>
    <w:rPr>
      <w:rFonts w:ascii="Arial" w:hAnsi="Arial" w:eastAsia="Arial" w:cs="Arial"/>
      <w:snapToGrid w:val="0"/>
      <w:color w:val="000000"/>
      <w:sz w:val="21"/>
      <w:szCs w:val="21"/>
      <w:lang w:val="en-US" w:eastAsia="en-US" w:bidi="ar-SA"/>
    </w:rPr>
  </w:style>
  <w:style w:type="character" w:customStyle="1" w:styleId="10">
    <w:name w:val="15"/>
    <w:basedOn w:val="8"/>
    <w:qFormat/>
    <w:uiPriority w:val="0"/>
    <w:rPr>
      <w:rFonts w:hint="default" w:ascii="Times New Roman" w:hAnsi="Times New Roman" w:cs="Times New Roman"/>
    </w:rPr>
  </w:style>
  <w:style w:type="paragraph" w:customStyle="1" w:styleId="11">
    <w:name w:val="正文正"/>
    <w:basedOn w:val="12"/>
    <w:qFormat/>
    <w:uiPriority w:val="0"/>
    <w:pPr>
      <w:spacing w:line="560" w:lineRule="exact"/>
      <w:ind w:firstLine="561"/>
    </w:pPr>
    <w:rPr>
      <w:rFonts w:eastAsia="仿宋_GB2312"/>
      <w:sz w:val="28"/>
      <w:szCs w:val="24"/>
    </w:rPr>
  </w:style>
  <w:style w:type="paragraph" w:customStyle="1" w:styleId="12">
    <w:name w:val="正文 New New New New New New New"/>
    <w:next w:val="13"/>
    <w:qFormat/>
    <w:uiPriority w:val="0"/>
    <w:pPr>
      <w:widowControl w:val="0"/>
      <w:jc w:val="both"/>
    </w:pPr>
    <w:rPr>
      <w:rFonts w:ascii="宋体" w:hAnsi="宋体" w:eastAsia="宋体" w:cs="Times New Roman"/>
      <w:kern w:val="16"/>
      <w:sz w:val="21"/>
      <w:szCs w:val="24"/>
      <w:lang w:val="en-US" w:eastAsia="zh-CN" w:bidi="ar-SA"/>
    </w:rPr>
  </w:style>
  <w:style w:type="paragraph" w:customStyle="1" w:styleId="13">
    <w:name w:val="正文文本 New"/>
    <w:basedOn w:val="14"/>
    <w:qFormat/>
    <w:uiPriority w:val="0"/>
    <w:pPr>
      <w:spacing w:line="360" w:lineRule="auto"/>
    </w:pPr>
    <w:rPr>
      <w:rFonts w:ascii="_x000B__x000C_" w:hAnsi="_x000B__x000C_"/>
      <w:sz w:val="24"/>
      <w:szCs w:val="20"/>
    </w:rPr>
  </w:style>
  <w:style w:type="paragraph" w:customStyle="1" w:styleId="14">
    <w:name w:val="正文 New New New New"/>
    <w:next w:val="13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正文缩进1"/>
    <w:basedOn w:val="1"/>
    <w:qFormat/>
    <w:uiPriority w:val="0"/>
    <w:pPr>
      <w:widowControl/>
      <w:ind w:firstLine="420"/>
      <w:jc w:val="left"/>
    </w:pPr>
    <w:rPr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873</Words>
  <Characters>900</Characters>
  <Lines>17</Lines>
  <Paragraphs>4</Paragraphs>
  <TotalTime>66</TotalTime>
  <ScaleCrop>false</ScaleCrop>
  <LinksUpToDate>false</LinksUpToDate>
  <CharactersWithSpaces>902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2024-02-07T07:47:00Z</dcterms:created>
  <dc:creator>admin</dc:creator>
  <cp:lastModifiedBy>吴剑</cp:lastModifiedBy>
  <cp:lastPrinted>2024-04-19T08:38:00Z</cp:lastPrinted>
  <dcterms:modified xsi:type="dcterms:W3CDTF">2025-03-31T06:15:17Z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78C21477D155426D8E2339C0EDDEB20B_13</vt:lpwstr>
  </property>
  <property fmtid="{D5CDD505-2E9C-101B-9397-08002B2CF9AE}" pid="4" name="KSOTemplateDocerSaveRecord">
    <vt:lpwstr>eyJoZGlkIjoiODJhZDJkZGZlYjM3MjdmZWQ0OTUzM2JmYTU0MzVkZjgiLCJ1c2VySWQiOiI3NzE3Njg3NjAifQ==</vt:lpwstr>
  </property>
</Properties>
</file>